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33F88" w14:textId="4AAF349F" w:rsidR="005E2C01" w:rsidRDefault="005E2C01" w:rsidP="005E2C01">
      <w:pPr>
        <w:tabs>
          <w:tab w:val="center" w:pos="8222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#9</w:t>
      </w:r>
      <w:r w:rsidR="003D7748">
        <w:rPr>
          <w:rFonts w:ascii="Arial" w:eastAsia="Batang" w:hAnsi="Arial" w:cs="Arial"/>
          <w:b/>
          <w:bCs/>
          <w:sz w:val="28"/>
          <w:szCs w:val="24"/>
          <w:lang w:val="en-GB"/>
        </w:rPr>
        <w:t>8</w:t>
      </w:r>
      <w:r w:rsidR="00DE1FAB">
        <w:rPr>
          <w:rFonts w:ascii="Arial" w:eastAsia="Batang" w:hAnsi="Arial" w:cs="Arial"/>
          <w:b/>
          <w:bCs/>
          <w:sz w:val="28"/>
          <w:szCs w:val="24"/>
          <w:lang w:val="en-GB"/>
        </w:rPr>
        <w:t>bis</w:t>
      </w:r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500128" w:rsidRPr="00500128">
        <w:rPr>
          <w:rFonts w:ascii="Arial" w:eastAsia="Batang" w:hAnsi="Arial" w:cs="Arial"/>
          <w:b/>
          <w:bCs/>
          <w:sz w:val="28"/>
          <w:szCs w:val="24"/>
          <w:lang w:val="en-GB"/>
        </w:rPr>
        <w:t>R1-</w:t>
      </w:r>
      <w:r w:rsidR="00DE1FAB" w:rsidRPr="00DE1FAB">
        <w:rPr>
          <w:rFonts w:ascii="Arial" w:eastAsia="Batang" w:hAnsi="Arial" w:cs="Arial"/>
          <w:b/>
          <w:bCs/>
          <w:sz w:val="28"/>
          <w:szCs w:val="24"/>
          <w:lang w:val="en-GB"/>
        </w:rPr>
        <w:t>1910763</w:t>
      </w:r>
    </w:p>
    <w:p w14:paraId="74393A1E" w14:textId="7D96371A" w:rsidR="005E2C01" w:rsidRPr="0005228D" w:rsidRDefault="00DE1FAB" w:rsidP="005E2C01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Chongqing</w:t>
      </w:r>
      <w:r w:rsidR="001D459B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sz w:val="28"/>
          <w:lang w:eastAsia="ja-JP"/>
        </w:rPr>
        <w:t>China</w:t>
      </w:r>
      <w:r w:rsidR="001D459B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sz w:val="28"/>
          <w:lang w:eastAsia="ja-JP"/>
        </w:rPr>
        <w:t>October</w:t>
      </w:r>
      <w:r w:rsidR="001D459B"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ＭＳ 明朝" w:hAnsi="Arial" w:cs="Arial"/>
          <w:b/>
          <w:bCs/>
          <w:sz w:val="28"/>
          <w:lang w:eastAsia="ja-JP"/>
        </w:rPr>
        <w:t>14</w:t>
      </w:r>
      <w:r w:rsidR="001D459B" w:rsidRPr="00BA33B5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1D459B">
        <w:rPr>
          <w:rFonts w:ascii="Arial" w:eastAsia="ＭＳ 明朝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lang w:eastAsia="ja-JP"/>
        </w:rPr>
        <w:t>2</w:t>
      </w:r>
      <w:r w:rsidR="001D459B">
        <w:rPr>
          <w:rFonts w:ascii="Arial" w:eastAsia="ＭＳ 明朝" w:hAnsi="Arial" w:cs="Arial"/>
          <w:b/>
          <w:bCs/>
          <w:sz w:val="28"/>
          <w:lang w:eastAsia="ja-JP"/>
        </w:rPr>
        <w:t>0</w:t>
      </w:r>
      <w:r w:rsidR="001D459B" w:rsidRPr="00BA33B5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1D459B">
        <w:rPr>
          <w:rFonts w:ascii="Arial" w:eastAsia="ＭＳ 明朝" w:hAnsi="Arial" w:cs="Arial"/>
          <w:b/>
          <w:bCs/>
          <w:sz w:val="28"/>
          <w:lang w:eastAsia="ja-JP"/>
        </w:rPr>
        <w:t>, 2019</w:t>
      </w:r>
    </w:p>
    <w:p w14:paraId="3A9DFC9F" w14:textId="77777777" w:rsidR="004246DC" w:rsidRPr="00DE1FAB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en-GB" w:eastAsia="zh-CN"/>
        </w:rPr>
      </w:pPr>
    </w:p>
    <w:p w14:paraId="59F145D0" w14:textId="59EE0E91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7.2.2.</w:t>
      </w:r>
      <w:r w:rsidR="0005228D">
        <w:rPr>
          <w:b/>
          <w:color w:val="000000" w:themeColor="text1"/>
          <w:kern w:val="2"/>
          <w:sz w:val="24"/>
          <w:lang w:eastAsia="zh-CN"/>
        </w:rPr>
        <w:t>2</w:t>
      </w:r>
      <w:r w:rsidR="004246DC">
        <w:rPr>
          <w:b/>
          <w:color w:val="000000" w:themeColor="text1"/>
          <w:kern w:val="2"/>
          <w:sz w:val="24"/>
          <w:lang w:eastAsia="zh-CN"/>
        </w:rPr>
        <w:t>.</w:t>
      </w:r>
      <w:r w:rsidR="00E953C2">
        <w:rPr>
          <w:b/>
          <w:color w:val="000000" w:themeColor="text1"/>
          <w:kern w:val="2"/>
          <w:sz w:val="24"/>
          <w:lang w:eastAsia="zh-CN"/>
        </w:rPr>
        <w:t>5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04AD68CD" w:rsidR="004246DC" w:rsidRDefault="004246DC" w:rsidP="004246DC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532E84">
        <w:rPr>
          <w:b/>
          <w:color w:val="000000" w:themeColor="text1"/>
          <w:kern w:val="2"/>
          <w:sz w:val="24"/>
          <w:lang w:eastAsia="zh-CN"/>
        </w:rPr>
        <w:t xml:space="preserve">UL </w:t>
      </w:r>
      <w:r w:rsidR="00532E84">
        <w:rPr>
          <w:rFonts w:eastAsia="ＭＳ 明朝"/>
          <w:b/>
          <w:color w:val="000000" w:themeColor="text1"/>
          <w:kern w:val="2"/>
          <w:sz w:val="24"/>
          <w:lang w:eastAsia="ja-JP"/>
        </w:rPr>
        <w:t>w</w:t>
      </w:r>
      <w:r w:rsidR="00E953C2">
        <w:rPr>
          <w:rFonts w:eastAsia="ＭＳ 明朝"/>
          <w:b/>
          <w:color w:val="000000" w:themeColor="text1"/>
          <w:kern w:val="2"/>
          <w:sz w:val="24"/>
          <w:lang w:eastAsia="ja-JP"/>
        </w:rPr>
        <w:t>ideband operation</w:t>
      </w:r>
      <w:r>
        <w:rPr>
          <w:b/>
          <w:color w:val="000000" w:themeColor="text1"/>
          <w:kern w:val="2"/>
          <w:sz w:val="24"/>
          <w:lang w:eastAsia="zh-CN"/>
        </w:rPr>
        <w:t xml:space="preserve"> 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for </w:t>
      </w:r>
      <w:r w:rsidR="00152F51">
        <w:rPr>
          <w:b/>
          <w:color w:val="000000" w:themeColor="text1"/>
          <w:kern w:val="2"/>
          <w:sz w:val="24"/>
          <w:lang w:eastAsia="zh-CN"/>
        </w:rPr>
        <w:t>NR Unlicensed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76672175" w14:textId="77777777" w:rsidR="004246DC" w:rsidRPr="005B50B6" w:rsidRDefault="004246DC" w:rsidP="004246D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03BC0F3" w14:textId="7E73B908" w:rsidR="0005228D" w:rsidRDefault="00A63F95" w:rsidP="00302EB0">
      <w:pPr>
        <w:overflowPunct w:val="0"/>
        <w:snapToGrid/>
        <w:spacing w:after="0"/>
        <w:textAlignment w:val="baseline"/>
        <w:rPr>
          <w:bCs/>
        </w:rPr>
      </w:pPr>
      <w:r>
        <w:rPr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B6454" wp14:editId="5D3A4E09">
                <wp:simplePos x="0" y="0"/>
                <wp:positionH relativeFrom="column">
                  <wp:posOffset>-28575</wp:posOffset>
                </wp:positionH>
                <wp:positionV relativeFrom="paragraph">
                  <wp:posOffset>427355</wp:posOffset>
                </wp:positionV>
                <wp:extent cx="6086475" cy="1076325"/>
                <wp:effectExtent l="0" t="0" r="28575" b="28575"/>
                <wp:wrapTopAndBottom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076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CBA5C" w14:textId="77777777" w:rsidR="00597EFF" w:rsidRPr="00A63F95" w:rsidRDefault="00597EFF" w:rsidP="00671F3F">
                            <w:pPr>
                              <w:pStyle w:val="a5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</w:pPr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      </w:r>
                            <w:proofErr w:type="spellStart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>subbands</w:t>
                            </w:r>
                            <w:proofErr w:type="spellEnd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 within the wideband carrier. For all wide-band operation cases, CCA is performed in units of 20MHz (at least for 5GHz).</w:t>
                            </w:r>
                          </w:p>
                          <w:p w14:paraId="04C97FD8" w14:textId="77777777" w:rsidR="00597EFF" w:rsidRPr="00671F3F" w:rsidRDefault="00597EFF" w:rsidP="00671F3F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B6454" id="Rectangle 1" o:spid="_x0000_s1026" style="position:absolute;left:0;text-align:left;margin-left:-2.25pt;margin-top:33.65pt;width:479.2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" filled="f" strokecolor="black [3213]" strokeweight="1pt">
                <v:textbox>
                  <w:txbxContent>
                    <w:p w14:paraId="70FCBA5C" w14:textId="77777777" w:rsidR="00597EFF" w:rsidRPr="00A63F95" w:rsidRDefault="00597EFF" w:rsidP="00671F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</w:pPr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</w:r>
                      <w:proofErr w:type="spellStart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>subbands</w:t>
                      </w:r>
                      <w:proofErr w:type="spellEnd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 within the wideband carrier. For all wide-band operation cases, CCA is performed in units of 20MHz (at least for 5GHz).</w:t>
                      </w:r>
                    </w:p>
                    <w:p w14:paraId="04C97FD8" w14:textId="77777777" w:rsidR="00597EFF" w:rsidRPr="00671F3F" w:rsidRDefault="00597EFF" w:rsidP="00671F3F">
                      <w:pPr>
                        <w:jc w:val="center"/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5228D">
        <w:rPr>
          <w:bCs/>
        </w:rPr>
        <w:t>In RAN</w:t>
      </w:r>
      <w:r w:rsidR="009B0EED">
        <w:rPr>
          <w:bCs/>
        </w:rPr>
        <w:t>#</w:t>
      </w:r>
      <w:r w:rsidR="0005228D">
        <w:rPr>
          <w:bCs/>
        </w:rPr>
        <w:t>82</w:t>
      </w:r>
      <w:r w:rsidR="009B0EED">
        <w:rPr>
          <w:bCs/>
        </w:rPr>
        <w:t xml:space="preserve"> meeting the </w:t>
      </w:r>
      <w:r w:rsidR="0005228D">
        <w:rPr>
          <w:bCs/>
        </w:rPr>
        <w:t>work item for NR operation in unlicensed spectrum was approved</w:t>
      </w:r>
      <w:r w:rsidR="007239AE">
        <w:rPr>
          <w:bCs/>
        </w:rPr>
        <w:t xml:space="preserve"> [1]</w:t>
      </w:r>
      <w:r w:rsidR="009B0EED">
        <w:rPr>
          <w:bCs/>
        </w:rPr>
        <w:t>.</w:t>
      </w:r>
      <w:r w:rsidR="000A5771">
        <w:rPr>
          <w:bCs/>
        </w:rPr>
        <w:t xml:space="preserve"> </w:t>
      </w:r>
      <w:r w:rsidR="003040E4">
        <w:rPr>
          <w:bCs/>
        </w:rPr>
        <w:t xml:space="preserve">Among other topics </w:t>
      </w:r>
      <w:r w:rsidR="0005228D">
        <w:rPr>
          <w:bCs/>
        </w:rPr>
        <w:t xml:space="preserve">the work item </w:t>
      </w:r>
      <w:r w:rsidR="003040E4">
        <w:rPr>
          <w:bCs/>
        </w:rPr>
        <w:t xml:space="preserve">description </w:t>
      </w:r>
      <w:r w:rsidR="0005228D">
        <w:rPr>
          <w:bCs/>
        </w:rPr>
        <w:t>includes the following objectives</w:t>
      </w:r>
      <w:r w:rsidR="003040E4">
        <w:rPr>
          <w:bCs/>
        </w:rPr>
        <w:t xml:space="preserve"> related to </w:t>
      </w:r>
      <w:r w:rsidR="00E953C2">
        <w:rPr>
          <w:bCs/>
        </w:rPr>
        <w:t>wideband operations</w:t>
      </w:r>
      <w:r w:rsidR="003040E4">
        <w:rPr>
          <w:bCs/>
        </w:rPr>
        <w:t>:</w:t>
      </w:r>
    </w:p>
    <w:p w14:paraId="3F51306D" w14:textId="04DF1D4D" w:rsidR="003040E4" w:rsidRDefault="003040E4" w:rsidP="00302EB0">
      <w:pPr>
        <w:overflowPunct w:val="0"/>
        <w:snapToGrid/>
        <w:spacing w:after="0"/>
        <w:textAlignment w:val="baseline"/>
        <w:rPr>
          <w:bCs/>
        </w:rPr>
      </w:pPr>
    </w:p>
    <w:p w14:paraId="502D9F02" w14:textId="2813B043" w:rsidR="00DB4A32" w:rsidRDefault="009074C0" w:rsidP="009B0EED">
      <w:pPr>
        <w:overflowPunct w:val="0"/>
        <w:snapToGrid/>
        <w:spacing w:after="0"/>
        <w:textAlignment w:val="baseline"/>
        <w:rPr>
          <w:bCs/>
          <w:highlight w:val="yellow"/>
        </w:rPr>
      </w:pPr>
      <w:r>
        <w:rPr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61959" wp14:editId="74B745D1">
                <wp:simplePos x="0" y="0"/>
                <wp:positionH relativeFrom="column">
                  <wp:posOffset>-19050</wp:posOffset>
                </wp:positionH>
                <wp:positionV relativeFrom="paragraph">
                  <wp:posOffset>591820</wp:posOffset>
                </wp:positionV>
                <wp:extent cx="6086475" cy="2295525"/>
                <wp:effectExtent l="0" t="0" r="28575" b="28575"/>
                <wp:wrapTopAndBottom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2295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87614E" w14:textId="77777777" w:rsidR="00CA75E2" w:rsidRPr="009074C0" w:rsidRDefault="00CA75E2" w:rsidP="009074C0">
                            <w:pPr>
                              <w:autoSpaceDE/>
                              <w:autoSpaceDN/>
                              <w:adjustRightInd/>
                              <w:snapToGrid/>
                              <w:rPr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  <w:highlight w:val="green"/>
                                <w:lang w:val="en-GB"/>
                              </w:rPr>
                              <w:t>Agreement:</w:t>
                            </w:r>
                          </w:p>
                          <w:p w14:paraId="42ACF1BC" w14:textId="77777777" w:rsidR="00CA75E2" w:rsidRPr="009074C0" w:rsidRDefault="00CA75E2" w:rsidP="00CA75E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For UL transmissions in a serving cell with carrier bandwidth greater than LBT bandwidth, for the case where UE performs CCA before UL transmission, support at least Alt. 1 among the following alternatives</w:t>
                            </w:r>
                          </w:p>
                          <w:p w14:paraId="7FC291A2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2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>Alt. 1: UE transmits the PUSCH only if CCA is successful at UE in all LBT bandwidths of the scheduled PUSCH.</w:t>
                            </w:r>
                          </w:p>
                          <w:p w14:paraId="6659F9F9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 xml:space="preserve">Alt. 2: </w:t>
                            </w:r>
                            <w:r w:rsidRPr="009074C0">
                              <w:rPr>
                                <w:rFonts w:hint="eastAsia"/>
                                <w:bCs/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 xml:space="preserve">UE transmits </w:t>
                            </w:r>
                            <w:r w:rsidRPr="009074C0">
                              <w:rPr>
                                <w:bCs/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 xml:space="preserve">the PUSCH in all or a subset of LBT bandwidths of the scheduled PUSCH for which CCA is successful at the UE. </w:t>
                            </w:r>
                          </w:p>
                          <w:p w14:paraId="24D7A4B1" w14:textId="77777777" w:rsidR="00CA75E2" w:rsidRPr="009074C0" w:rsidRDefault="00CA75E2" w:rsidP="00CA75E2">
                            <w:pPr>
                              <w:numPr>
                                <w:ilvl w:val="1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Decision on whether this alternative is supported will depend on feedback from RAN4</w:t>
                            </w:r>
                          </w:p>
                          <w:p w14:paraId="7FD5EEF7" w14:textId="77777777" w:rsidR="00CA75E2" w:rsidRPr="009074C0" w:rsidRDefault="00CA75E2" w:rsidP="00CA75E2">
                            <w:pPr>
                              <w:numPr>
                                <w:ilvl w:val="1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rFonts w:hint="eastAsia"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  <w:t>F</w:t>
                            </w:r>
                            <w:r w:rsidRPr="009074C0">
                              <w:rPr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  <w:t>FS on restrictions to the subset of LBT bandwidths, e.g., only contiguous LBT bandwidths allowed, based on feedback from RAN4</w:t>
                            </w:r>
                          </w:p>
                          <w:p w14:paraId="4D3D83AC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Necessity of guard bands within the scheduled PUSCH should be determined by RAN4</w:t>
                            </w:r>
                          </w:p>
                          <w:p w14:paraId="4BF146C2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FFS: Whether this applies also to configured grant PUSCH</w:t>
                            </w:r>
                          </w:p>
                          <w:p w14:paraId="03B6B65B" w14:textId="34FE30A7" w:rsidR="00597EFF" w:rsidRPr="009074C0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FFS: Whether this applies also to PUCCH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61959" id="Rectangle 4" o:spid="_x0000_s1027" style="position:absolute;left:0;text-align:left;margin-left:-1.5pt;margin-top:46.6pt;width:479.25pt;height:18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" filled="f" strokecolor="black [3213]" strokeweight="1pt">
                <v:textbox>
                  <w:txbxContent>
                    <w:p w14:paraId="7687614E" w14:textId="77777777" w:rsidR="00CA75E2" w:rsidRPr="009074C0" w:rsidRDefault="00CA75E2" w:rsidP="009074C0">
                      <w:pPr>
                        <w:autoSpaceDE/>
                        <w:autoSpaceDN/>
                        <w:adjustRightInd/>
                        <w:snapToGrid/>
                        <w:rPr>
                          <w:color w:val="000000" w:themeColor="text1"/>
                          <w:sz w:val="21"/>
                          <w:szCs w:val="21"/>
                          <w:lang w:val="en-GB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  <w:highlight w:val="green"/>
                          <w:lang w:val="en-GB"/>
                        </w:rPr>
                        <w:t>Agreement:</w:t>
                      </w:r>
                    </w:p>
                    <w:p w14:paraId="42ACF1BC" w14:textId="77777777" w:rsidR="00CA75E2" w:rsidRPr="009074C0" w:rsidRDefault="00CA75E2" w:rsidP="00CA75E2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For UL transmissions in a serving cell with carrier bandwidth greater than LBT bandwidth, for the case where UE performs CCA before UL transmission, support at least Alt. 1 among the following alternatives</w:t>
                      </w:r>
                    </w:p>
                    <w:p w14:paraId="7FC291A2" w14:textId="77777777" w:rsidR="00CA75E2" w:rsidRPr="009074C0" w:rsidRDefault="00CA75E2" w:rsidP="00CA75E2">
                      <w:pPr>
                        <w:numPr>
                          <w:ilvl w:val="0"/>
                          <w:numId w:val="2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  <w:lang w:val="en-GB"/>
                        </w:rPr>
                        <w:t>Alt. 1: UE transmits the PUSCH only if CCA is successful at UE in all LBT bandwidths of the scheduled PUSCH.</w:t>
                      </w:r>
                    </w:p>
                    <w:p w14:paraId="6659F9F9" w14:textId="77777777" w:rsidR="00CA75E2" w:rsidRPr="009074C0" w:rsidRDefault="00CA75E2" w:rsidP="00CA75E2">
                      <w:pPr>
                        <w:numPr>
                          <w:ilvl w:val="0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  <w:lang w:val="en-GB"/>
                        </w:rPr>
                        <w:t xml:space="preserve">Alt. 2: </w:t>
                      </w:r>
                      <w:r w:rsidRPr="009074C0">
                        <w:rPr>
                          <w:rFonts w:hint="eastAsia"/>
                          <w:bCs/>
                          <w:color w:val="000000" w:themeColor="text1"/>
                          <w:sz w:val="21"/>
                          <w:szCs w:val="21"/>
                          <w:lang w:val="en-GB"/>
                        </w:rPr>
                        <w:t xml:space="preserve">UE transmits </w:t>
                      </w:r>
                      <w:r w:rsidRPr="009074C0">
                        <w:rPr>
                          <w:bCs/>
                          <w:color w:val="000000" w:themeColor="text1"/>
                          <w:sz w:val="21"/>
                          <w:szCs w:val="21"/>
                          <w:lang w:val="en-GB"/>
                        </w:rPr>
                        <w:t xml:space="preserve">the PUSCH in all or a subset of LBT bandwidths of the scheduled PUSCH for which CCA is successful at the UE. </w:t>
                      </w:r>
                    </w:p>
                    <w:p w14:paraId="24D7A4B1" w14:textId="77777777" w:rsidR="00CA75E2" w:rsidRPr="009074C0" w:rsidRDefault="00CA75E2" w:rsidP="00CA75E2">
                      <w:pPr>
                        <w:numPr>
                          <w:ilvl w:val="1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Decision on whether this alternative is supported will depend on feedback from RAN4</w:t>
                      </w:r>
                    </w:p>
                    <w:p w14:paraId="7FD5EEF7" w14:textId="77777777" w:rsidR="00CA75E2" w:rsidRPr="009074C0" w:rsidRDefault="00CA75E2" w:rsidP="00CA75E2">
                      <w:pPr>
                        <w:numPr>
                          <w:ilvl w:val="1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rFonts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F</w:t>
                      </w:r>
                      <w:r w:rsidRPr="009074C0">
                        <w:rPr>
                          <w:bCs/>
                          <w:color w:val="000000" w:themeColor="text1"/>
                          <w:sz w:val="21"/>
                          <w:szCs w:val="21"/>
                        </w:rPr>
                        <w:t>FS on restrictions to the subset of LBT bandwidths, e.g., only contiguous LBT bandwidths allowed, based on feedback from RAN4</w:t>
                      </w:r>
                    </w:p>
                    <w:p w14:paraId="4D3D83AC" w14:textId="77777777" w:rsidR="00CA75E2" w:rsidRPr="009074C0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Necessity of guard bands within the scheduled PUSCH should be determined by RAN4</w:t>
                      </w:r>
                    </w:p>
                    <w:p w14:paraId="4BF146C2" w14:textId="77777777" w:rsidR="00CA75E2" w:rsidRPr="009074C0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FFS: Whether this applies also to configured grant PUSCH</w:t>
                      </w:r>
                    </w:p>
                    <w:p w14:paraId="03B6B65B" w14:textId="34FE30A7" w:rsidR="00597EFF" w:rsidRPr="009074C0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FFS: Whether this applies also to PUCCH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DB4A32" w:rsidRPr="00B360FB">
        <w:rPr>
          <w:bCs/>
        </w:rPr>
        <w:t xml:space="preserve">Further, in </w:t>
      </w:r>
      <w:r w:rsidR="009266C6" w:rsidRPr="00B360FB">
        <w:rPr>
          <w:bCs/>
        </w:rPr>
        <w:t>RAN1#96</w:t>
      </w:r>
      <w:r w:rsidR="006D0789">
        <w:rPr>
          <w:bCs/>
        </w:rPr>
        <w:t>bis</w:t>
      </w:r>
      <w:r w:rsidR="009266C6" w:rsidRPr="00B360FB">
        <w:rPr>
          <w:bCs/>
        </w:rPr>
        <w:t xml:space="preserve"> the topic of wideband operation was discussed, and </w:t>
      </w:r>
      <w:r w:rsidR="00CA75E2">
        <w:rPr>
          <w:bCs/>
        </w:rPr>
        <w:t>the different solutions</w:t>
      </w:r>
      <w:r w:rsidR="00DE57C9" w:rsidRPr="00B360FB">
        <w:rPr>
          <w:bCs/>
        </w:rPr>
        <w:t xml:space="preserve"> for BWP-based UL operation within a carrier with bandwidth larger than 20 MHz were </w:t>
      </w:r>
      <w:r w:rsidR="00CA75E2">
        <w:rPr>
          <w:bCs/>
        </w:rPr>
        <w:t>discussed</w:t>
      </w:r>
      <w:r w:rsidR="00DE57C9" w:rsidRPr="006A0739">
        <w:rPr>
          <w:bCs/>
        </w:rPr>
        <w:t xml:space="preserve"> </w:t>
      </w:r>
      <w:r w:rsidR="00D735E0" w:rsidRPr="006A0739">
        <w:rPr>
          <w:bCs/>
        </w:rPr>
        <w:t>[</w:t>
      </w:r>
      <w:r w:rsidR="006A0739" w:rsidRPr="006A0739">
        <w:rPr>
          <w:bCs/>
        </w:rPr>
        <w:t>2</w:t>
      </w:r>
      <w:r w:rsidR="00D735E0" w:rsidRPr="006A0739">
        <w:rPr>
          <w:bCs/>
        </w:rPr>
        <w:t>]</w:t>
      </w:r>
      <w:r w:rsidR="00B360FB" w:rsidRPr="006A0739">
        <w:rPr>
          <w:bCs/>
        </w:rPr>
        <w:t xml:space="preserve">. The </w:t>
      </w:r>
      <w:r w:rsidR="00CA75E2">
        <w:rPr>
          <w:bCs/>
        </w:rPr>
        <w:t>following was agreed</w:t>
      </w:r>
      <w:r w:rsidR="00B360FB" w:rsidRPr="006A0739">
        <w:rPr>
          <w:bCs/>
        </w:rPr>
        <w:t>:</w:t>
      </w:r>
    </w:p>
    <w:p w14:paraId="6A6F4097" w14:textId="77777777" w:rsidR="008B2400" w:rsidRDefault="008B2400" w:rsidP="004246DC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01906F36" w14:textId="4229D3A6" w:rsidR="004246DC" w:rsidRDefault="004246DC" w:rsidP="004246DC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we will </w:t>
      </w:r>
      <w:r w:rsidR="00302EB0">
        <w:rPr>
          <w:color w:val="000000" w:themeColor="text1"/>
          <w:lang w:eastAsia="zh-CN"/>
        </w:rPr>
        <w:t xml:space="preserve">further </w:t>
      </w:r>
      <w:r>
        <w:rPr>
          <w:rFonts w:hint="eastAsia"/>
          <w:color w:val="000000" w:themeColor="text1"/>
          <w:lang w:eastAsia="zh-CN"/>
        </w:rPr>
        <w:t xml:space="preserve">discuss </w:t>
      </w:r>
      <w:r w:rsidR="003040E4">
        <w:rPr>
          <w:color w:val="000000" w:themeColor="text1"/>
          <w:lang w:eastAsia="zh-CN"/>
        </w:rPr>
        <w:t>design options and directions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think RAN1 should consider for unlicensed NR </w:t>
      </w:r>
      <w:r w:rsidR="003040E4">
        <w:rPr>
          <w:color w:val="000000" w:themeColor="text1"/>
          <w:lang w:eastAsia="zh-CN"/>
        </w:rPr>
        <w:t xml:space="preserve">within the work item </w:t>
      </w:r>
      <w:r>
        <w:rPr>
          <w:color w:val="000000" w:themeColor="text1"/>
          <w:lang w:eastAsia="zh-CN"/>
        </w:rPr>
        <w:t>with respect to</w:t>
      </w:r>
      <w:r>
        <w:rPr>
          <w:rFonts w:eastAsia="ＭＳ 明朝" w:hint="eastAsia"/>
          <w:lang w:eastAsia="ja-JP"/>
        </w:rPr>
        <w:t xml:space="preserve"> </w:t>
      </w:r>
      <w:r w:rsidR="003040E4">
        <w:rPr>
          <w:rFonts w:eastAsia="ＭＳ 明朝"/>
          <w:lang w:eastAsia="ja-JP"/>
        </w:rPr>
        <w:t>the wide band operations</w:t>
      </w:r>
      <w:r>
        <w:t>.</w:t>
      </w:r>
    </w:p>
    <w:p w14:paraId="33F23DB7" w14:textId="1C38290C" w:rsidR="004246DC" w:rsidRDefault="004246DC" w:rsidP="004246DC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7416EF7A" w14:textId="00CA479F" w:rsidR="00C3754F" w:rsidRPr="005B50B6" w:rsidRDefault="00384DE6" w:rsidP="00EB628D">
      <w:pPr>
        <w:pStyle w:val="2"/>
        <w:rPr>
          <w:lang w:eastAsia="zh-CN"/>
        </w:rPr>
      </w:pPr>
      <w:r>
        <w:rPr>
          <w:lang w:eastAsia="zh-CN"/>
        </w:rPr>
        <w:t>Uplink w</w:t>
      </w:r>
      <w:r w:rsidR="00EB628D" w:rsidRPr="00EB628D">
        <w:rPr>
          <w:lang w:eastAsia="zh-CN"/>
        </w:rPr>
        <w:t>ideband (&gt;20 MHz) operation</w:t>
      </w:r>
      <w:r w:rsidR="00C15608">
        <w:rPr>
          <w:lang w:eastAsia="zh-CN"/>
        </w:rPr>
        <w:t xml:space="preserve"> of NR-U</w:t>
      </w:r>
    </w:p>
    <w:p w14:paraId="2EEE1CF3" w14:textId="01ADEF80" w:rsidR="00C928D3" w:rsidRDefault="00C928D3" w:rsidP="00C928D3">
      <w:pPr>
        <w:rPr>
          <w:color w:val="000000" w:themeColor="text1"/>
        </w:rPr>
      </w:pPr>
      <w:r w:rsidRPr="00530B04">
        <w:rPr>
          <w:color w:val="000000" w:themeColor="text1"/>
        </w:rPr>
        <w:t xml:space="preserve">As </w:t>
      </w:r>
      <w:r w:rsidR="003040E4">
        <w:rPr>
          <w:color w:val="000000" w:themeColor="text1"/>
        </w:rPr>
        <w:t>included in the work item objectives for</w:t>
      </w:r>
      <w:r w:rsidR="003040E4" w:rsidRPr="003040E4">
        <w:rPr>
          <w:color w:val="000000" w:themeColor="text1"/>
        </w:rPr>
        <w:t xml:space="preserve"> all wide-band operation cases, CCA is performed in units of 20MHz (at least for 5GHz).</w:t>
      </w:r>
    </w:p>
    <w:p w14:paraId="1E70CCAB" w14:textId="4699B63B" w:rsidR="00C15608" w:rsidRDefault="00FF2590" w:rsidP="00C15608">
      <w:pPr>
        <w:rPr>
          <w:color w:val="000000" w:themeColor="text1"/>
        </w:rPr>
      </w:pPr>
      <w:r w:rsidRPr="00FF2590">
        <w:rPr>
          <w:color w:val="000000" w:themeColor="text1"/>
        </w:rPr>
        <w:t>For UL transmissions in a serving cell with carrier bandwidth greater than LBT bandwidth, for the case where UE performs CCA before UL transmission</w:t>
      </w:r>
      <w:r w:rsidR="00384DE6">
        <w:rPr>
          <w:color w:val="000000" w:themeColor="text1"/>
        </w:rPr>
        <w:t xml:space="preserve"> </w:t>
      </w:r>
      <w:r w:rsidR="005B5D3D">
        <w:rPr>
          <w:color w:val="000000" w:themeColor="text1"/>
        </w:rPr>
        <w:t xml:space="preserve">the </w:t>
      </w:r>
      <w:r w:rsidR="00384DE6">
        <w:rPr>
          <w:color w:val="000000" w:themeColor="text1"/>
        </w:rPr>
        <w:t>two</w:t>
      </w:r>
      <w:r w:rsidR="00E371D7">
        <w:rPr>
          <w:color w:val="000000" w:themeColor="text1"/>
        </w:rPr>
        <w:t xml:space="preserve"> options concluded </w:t>
      </w:r>
      <w:r w:rsidR="005B5D3D">
        <w:rPr>
          <w:color w:val="000000" w:themeColor="text1"/>
        </w:rPr>
        <w:t xml:space="preserve">are </w:t>
      </w:r>
      <w:r w:rsidR="00E371D7">
        <w:rPr>
          <w:color w:val="000000" w:themeColor="text1"/>
        </w:rPr>
        <w:t xml:space="preserve">listed as </w:t>
      </w:r>
      <w:r w:rsidR="00384DE6">
        <w:rPr>
          <w:color w:val="000000" w:themeColor="text1"/>
        </w:rPr>
        <w:t>alternative</w:t>
      </w:r>
      <w:r w:rsidR="00E371D7">
        <w:rPr>
          <w:color w:val="000000" w:themeColor="text1"/>
        </w:rPr>
        <w:t xml:space="preserve"> </w:t>
      </w:r>
      <w:r w:rsidR="00384DE6">
        <w:rPr>
          <w:color w:val="000000" w:themeColor="text1"/>
        </w:rPr>
        <w:t>1 and 2</w:t>
      </w:r>
      <w:r w:rsidR="00E371D7">
        <w:rPr>
          <w:color w:val="000000" w:themeColor="text1"/>
        </w:rPr>
        <w:t xml:space="preserve"> in the introduction section above</w:t>
      </w:r>
      <w:r w:rsidR="00DD141C">
        <w:rPr>
          <w:color w:val="000000" w:themeColor="text1"/>
        </w:rPr>
        <w:t>.</w:t>
      </w:r>
      <w:r w:rsidR="00384DE6">
        <w:rPr>
          <w:color w:val="000000" w:themeColor="text1"/>
        </w:rPr>
        <w:t xml:space="preserve"> The two alternatives</w:t>
      </w:r>
      <w:r w:rsidR="00C15608">
        <w:rPr>
          <w:color w:val="000000" w:themeColor="text1"/>
        </w:rPr>
        <w:t xml:space="preserve"> </w:t>
      </w:r>
      <w:r w:rsidR="00384DE6">
        <w:rPr>
          <w:color w:val="000000" w:themeColor="text1"/>
        </w:rPr>
        <w:t xml:space="preserve">follow </w:t>
      </w:r>
      <w:r w:rsidR="00C15608">
        <w:rPr>
          <w:color w:val="000000" w:themeColor="text1"/>
        </w:rPr>
        <w:t>the mechanism of Rel-15 NR BW</w:t>
      </w:r>
      <w:r w:rsidR="00E371D7">
        <w:rPr>
          <w:color w:val="000000" w:themeColor="text1"/>
        </w:rPr>
        <w:t xml:space="preserve">P configuration and activation </w:t>
      </w:r>
      <w:r w:rsidR="00C15608">
        <w:rPr>
          <w:color w:val="000000" w:themeColor="text1"/>
        </w:rPr>
        <w:t>with the difference being the support of partial BWP transmission (</w:t>
      </w:r>
      <w:r w:rsidR="00384DE6">
        <w:rPr>
          <w:color w:val="000000" w:themeColor="text1"/>
        </w:rPr>
        <w:t>alternative</w:t>
      </w:r>
      <w:r w:rsidR="00C15608">
        <w:rPr>
          <w:color w:val="000000" w:themeColor="text1"/>
        </w:rPr>
        <w:t xml:space="preserve"> </w:t>
      </w:r>
      <w:r w:rsidR="001B2BE2">
        <w:rPr>
          <w:color w:val="000000" w:themeColor="text1"/>
        </w:rPr>
        <w:t>2</w:t>
      </w:r>
      <w:r w:rsidR="00C15608">
        <w:rPr>
          <w:color w:val="000000" w:themeColor="text1"/>
        </w:rPr>
        <w:t xml:space="preserve">). Since </w:t>
      </w:r>
      <w:proofErr w:type="spellStart"/>
      <w:r w:rsidR="00C15608">
        <w:rPr>
          <w:color w:val="000000" w:themeColor="text1"/>
        </w:rPr>
        <w:t>eMBB</w:t>
      </w:r>
      <w:proofErr w:type="spellEnd"/>
      <w:r w:rsidR="00C15608">
        <w:rPr>
          <w:color w:val="000000" w:themeColor="text1"/>
        </w:rPr>
        <w:t xml:space="preserve"> service is the main target for Rel-16 NR-U, it is quite normal for the network to configure </w:t>
      </w:r>
      <w:bookmarkStart w:id="0" w:name="_GoBack"/>
      <w:bookmarkEnd w:id="0"/>
      <w:r w:rsidR="00C15608">
        <w:rPr>
          <w:color w:val="000000" w:themeColor="text1"/>
        </w:rPr>
        <w:lastRenderedPageBreak/>
        <w:t>a BWP exceeding 20MHz</w:t>
      </w:r>
      <w:r w:rsidR="001B2BE2">
        <w:rPr>
          <w:color w:val="000000" w:themeColor="text1"/>
        </w:rPr>
        <w:t xml:space="preserve">. </w:t>
      </w:r>
      <w:r w:rsidR="00C15608">
        <w:rPr>
          <w:color w:val="000000" w:themeColor="text1"/>
        </w:rPr>
        <w:t xml:space="preserve">In such a case, </w:t>
      </w:r>
      <w:r w:rsidR="001B2BE2">
        <w:rPr>
          <w:color w:val="000000" w:themeColor="text1"/>
        </w:rPr>
        <w:t>alternative 2</w:t>
      </w:r>
      <w:r w:rsidR="00C15608">
        <w:rPr>
          <w:color w:val="000000" w:themeColor="text1"/>
        </w:rPr>
        <w:t xml:space="preserve"> shows its superior performance on the spectral efficiency over </w:t>
      </w:r>
      <w:r w:rsidR="001B2BE2">
        <w:rPr>
          <w:color w:val="000000" w:themeColor="text1"/>
        </w:rPr>
        <w:t>alternative 1</w:t>
      </w:r>
      <w:r w:rsidR="00C15608">
        <w:rPr>
          <w:color w:val="000000" w:themeColor="text1"/>
        </w:rPr>
        <w:t xml:space="preserve">, especially when only a small partial BWP is busy at a time instant. </w:t>
      </w:r>
      <w:r>
        <w:rPr>
          <w:color w:val="000000" w:themeColor="text1"/>
        </w:rPr>
        <w:t>Hence,</w:t>
      </w:r>
      <w:r w:rsidR="00B7653B">
        <w:rPr>
          <w:color w:val="000000" w:themeColor="text1"/>
        </w:rPr>
        <w:t xml:space="preserve"> we are supportive of the Alt 2 on top of the already agreed Alt 1, conditioned on positive indication from RAN4.</w:t>
      </w:r>
    </w:p>
    <w:p w14:paraId="5F5762A5" w14:textId="45DF5BF1" w:rsidR="000D26D2" w:rsidRPr="00E371D7" w:rsidRDefault="00C15608" w:rsidP="00E371D7">
      <w:pPr>
        <w:pStyle w:val="a5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eastAsia="ＭＳ 明朝" w:hAnsi="Times New Roman" w:cs="Times New Roman"/>
          <w:b/>
          <w:i/>
          <w:color w:val="000000" w:themeColor="text1"/>
          <w:lang w:eastAsia="ja-JP"/>
        </w:rPr>
        <w:t>1</w:t>
      </w:r>
      <w:r>
        <w:rPr>
          <w:rFonts w:ascii="Times New Roman" w:hAnsi="Times New Roman" w:cs="Times New Roman"/>
          <w:color w:val="000000" w:themeColor="text1"/>
        </w:rPr>
        <w:t xml:space="preserve">: </w:t>
      </w:r>
      <w:r w:rsidR="001B2BE2" w:rsidRPr="001B2BE2">
        <w:rPr>
          <w:rFonts w:ascii="Times New Roman" w:hAnsi="Times New Roman" w:cs="Times New Roman"/>
          <w:i/>
          <w:lang w:val="en-GB" w:eastAsia="ja-JP"/>
        </w:rPr>
        <w:t xml:space="preserve">NR-U to support that: </w:t>
      </w:r>
      <w:r w:rsidR="00B7653B" w:rsidRPr="00B7653B">
        <w:rPr>
          <w:rFonts w:ascii="Times New Roman" w:hAnsi="Times New Roman" w:cs="Times New Roman"/>
          <w:i/>
          <w:lang w:val="en-GB" w:eastAsia="ja-JP"/>
        </w:rPr>
        <w:t>UE transmits the PUSCH in all or a subset of LBT bandwidths of the scheduled PUSCH for which CCA is successful at the UE</w:t>
      </w:r>
      <w:r>
        <w:rPr>
          <w:rFonts w:ascii="Times New Roman" w:hAnsi="Times New Roman" w:cs="Times New Roman"/>
          <w:i/>
          <w:lang w:val="en-GB" w:eastAsia="ja-JP"/>
        </w:rPr>
        <w:t xml:space="preserve">. </w:t>
      </w:r>
    </w:p>
    <w:p w14:paraId="12282D2F" w14:textId="64D0E78F" w:rsidR="00206151" w:rsidRPr="00F00C1E" w:rsidRDefault="00206151" w:rsidP="00F44861">
      <w:pPr>
        <w:pStyle w:val="a5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1" w:name="_Hlk771344"/>
    </w:p>
    <w:bookmarkEnd w:id="1"/>
    <w:p w14:paraId="427FB771" w14:textId="77777777" w:rsidR="004246DC" w:rsidRDefault="004246DC" w:rsidP="004246D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38AD5161" w14:textId="465AE846" w:rsidR="004246DC" w:rsidRPr="00F7452E" w:rsidRDefault="004246DC" w:rsidP="004246DC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7B65886" w14:textId="77777777" w:rsidR="00FF2590" w:rsidRPr="00561CA1" w:rsidRDefault="00FF2590" w:rsidP="00FF2590">
      <w:pPr>
        <w:pStyle w:val="a5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bookmarkStart w:id="2" w:name="_Hlk764406"/>
      <w:bookmarkStart w:id="3" w:name="_Hlk16228576"/>
      <w:r w:rsidRPr="00561CA1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 w:rsidRPr="00561CA1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>1</w:t>
      </w:r>
      <w:r w:rsidRPr="00561CA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: </w:t>
      </w:r>
      <w:r w:rsidRPr="00561CA1">
        <w:rPr>
          <w:rFonts w:ascii="Times New Roman" w:hAnsi="Times New Roman" w:cs="Times New Roman"/>
          <w:i/>
          <w:sz w:val="22"/>
          <w:szCs w:val="22"/>
          <w:lang w:val="en-GB" w:eastAsia="ja-JP"/>
        </w:rPr>
        <w:t xml:space="preserve">NR-U to support that: UE transmits the PUSCH in all or a subset of LBT bandwidths of the scheduled PUSCH for which CCA is successful at the UE. </w:t>
      </w:r>
    </w:p>
    <w:bookmarkEnd w:id="2"/>
    <w:bookmarkEnd w:id="3"/>
    <w:p w14:paraId="3BC088C9" w14:textId="77777777" w:rsidR="004246DC" w:rsidRPr="00F92CF5" w:rsidRDefault="004246DC" w:rsidP="004246DC">
      <w:pPr>
        <w:rPr>
          <w:rFonts w:eastAsia="ＭＳ 明朝"/>
          <w:color w:val="000000" w:themeColor="text1"/>
          <w:lang w:eastAsia="ja-JP"/>
        </w:rPr>
      </w:pPr>
    </w:p>
    <w:p w14:paraId="644C6D25" w14:textId="77777777" w:rsidR="004246DC" w:rsidRPr="005B50B6" w:rsidRDefault="004246DC" w:rsidP="004246D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63041462" w14:textId="0E8CD7CA" w:rsidR="004246DC" w:rsidRPr="008876C4" w:rsidRDefault="004E5969" w:rsidP="00594F37">
      <w:pPr>
        <w:pStyle w:val="Web"/>
        <w:numPr>
          <w:ilvl w:val="0"/>
          <w:numId w:val="2"/>
        </w:numPr>
        <w:spacing w:before="0" w:beforeAutospacing="0" w:after="120" w:afterAutospacing="0"/>
        <w:ind w:left="397" w:hanging="397"/>
        <w:rPr>
          <w:rFonts w:ascii="Times New Roman" w:hAnsi="Times New Roman" w:cs="Times New Roman"/>
          <w:sz w:val="22"/>
          <w:szCs w:val="22"/>
        </w:rPr>
      </w:pPr>
      <w:proofErr w:type="gramStart"/>
      <w:r w:rsidRPr="008608A2">
        <w:rPr>
          <w:rFonts w:ascii="Times New Roman" w:hAnsi="Times New Roman" w:cs="Times New Roman"/>
          <w:sz w:val="22"/>
          <w:szCs w:val="22"/>
        </w:rPr>
        <w:t>Chairman’s Notes,</w:t>
      </w:r>
      <w:proofErr w:type="gramEnd"/>
      <w:r w:rsidRPr="008608A2">
        <w:rPr>
          <w:rFonts w:ascii="Times New Roman" w:hAnsi="Times New Roman" w:cs="Times New Roman"/>
          <w:sz w:val="22"/>
          <w:szCs w:val="22"/>
        </w:rPr>
        <w:t xml:space="preserve"> RAN #</w:t>
      </w:r>
      <w:r w:rsidR="00F80AF6">
        <w:rPr>
          <w:rFonts w:ascii="Times New Roman" w:hAnsi="Times New Roman" w:cs="Times New Roman"/>
          <w:sz w:val="22"/>
          <w:szCs w:val="22"/>
        </w:rPr>
        <w:t>82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F80AF6">
        <w:rPr>
          <w:rFonts w:ascii="Times New Roman" w:eastAsia="ＭＳ 明朝" w:hAnsi="Times New Roman" w:cs="Times New Roman"/>
          <w:sz w:val="22"/>
          <w:szCs w:val="22"/>
          <w:lang w:eastAsia="ja-JP"/>
        </w:rPr>
        <w:t>December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4246DC" w:rsidRPr="006714C3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E10F506" w14:textId="518140EF" w:rsidR="005A27BC" w:rsidRDefault="005A27BC" w:rsidP="00D735E0">
      <w:pPr>
        <w:pStyle w:val="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Chairman notes, </w:t>
      </w:r>
      <w:r w:rsidRPr="00CB6BE5">
        <w:rPr>
          <w:rFonts w:ascii="Times New Roman" w:hAnsi="Times New Roman" w:cs="Times New Roman"/>
          <w:sz w:val="22"/>
          <w:szCs w:val="22"/>
        </w:rPr>
        <w:t xml:space="preserve">3GPP TSG RAN WG1 </w:t>
      </w:r>
      <w:r>
        <w:rPr>
          <w:rFonts w:ascii="Times New Roman" w:hAnsi="Times New Roman" w:cs="Times New Roman"/>
          <w:sz w:val="22"/>
          <w:szCs w:val="22"/>
        </w:rPr>
        <w:t>#96bis, April 2019</w:t>
      </w:r>
    </w:p>
    <w:sectPr w:rsidR="005A27BC" w:rsidSect="00597EFF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ED797" w14:textId="77777777" w:rsidR="00964D61" w:rsidRDefault="00964D61" w:rsidP="00530B04">
      <w:pPr>
        <w:spacing w:after="0"/>
      </w:pPr>
      <w:r>
        <w:separator/>
      </w:r>
    </w:p>
  </w:endnote>
  <w:endnote w:type="continuationSeparator" w:id="0">
    <w:p w14:paraId="40812A25" w14:textId="77777777" w:rsidR="00964D61" w:rsidRDefault="00964D61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6657D" w14:textId="77777777" w:rsidR="00964D61" w:rsidRDefault="00964D61" w:rsidP="00530B04">
      <w:pPr>
        <w:spacing w:after="0"/>
      </w:pPr>
      <w:r>
        <w:separator/>
      </w:r>
    </w:p>
  </w:footnote>
  <w:footnote w:type="continuationSeparator" w:id="0">
    <w:p w14:paraId="0642C336" w14:textId="77777777" w:rsidR="00964D61" w:rsidRDefault="00964D61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0240"/>
    <w:multiLevelType w:val="hybridMultilevel"/>
    <w:tmpl w:val="FD5C4198"/>
    <w:lvl w:ilvl="0" w:tplc="23E6B81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D312EC"/>
    <w:multiLevelType w:val="hybridMultilevel"/>
    <w:tmpl w:val="F3DA9488"/>
    <w:lvl w:ilvl="0" w:tplc="6BC6EE0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-58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54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0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-4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-4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-3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34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-3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-2600" w:hanging="400"/>
      </w:pPr>
      <w:rPr>
        <w:rFonts w:ascii="Wingdings" w:hAnsi="Wingdings" w:hint="default"/>
      </w:rPr>
    </w:lvl>
  </w:abstractNum>
  <w:abstractNum w:abstractNumId="18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2353E2"/>
    <w:multiLevelType w:val="hybridMultilevel"/>
    <w:tmpl w:val="138E86D6"/>
    <w:lvl w:ilvl="0" w:tplc="2C88DB02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8"/>
  </w:num>
  <w:num w:numId="6">
    <w:abstractNumId w:val="3"/>
  </w:num>
  <w:num w:numId="7">
    <w:abstractNumId w:val="11"/>
  </w:num>
  <w:num w:numId="8">
    <w:abstractNumId w:val="19"/>
  </w:num>
  <w:num w:numId="9">
    <w:abstractNumId w:val="13"/>
  </w:num>
  <w:num w:numId="10">
    <w:abstractNumId w:val="7"/>
  </w:num>
  <w:num w:numId="11">
    <w:abstractNumId w:val="9"/>
  </w:num>
  <w:num w:numId="12">
    <w:abstractNumId w:val="20"/>
  </w:num>
  <w:num w:numId="13">
    <w:abstractNumId w:val="10"/>
  </w:num>
  <w:num w:numId="14">
    <w:abstractNumId w:val="17"/>
  </w:num>
  <w:num w:numId="15">
    <w:abstractNumId w:val="2"/>
  </w:num>
  <w:num w:numId="16">
    <w:abstractNumId w:val="1"/>
  </w:num>
  <w:num w:numId="17">
    <w:abstractNumId w:val="16"/>
  </w:num>
  <w:num w:numId="18">
    <w:abstractNumId w:val="5"/>
  </w:num>
  <w:num w:numId="19">
    <w:abstractNumId w:val="14"/>
  </w:num>
  <w:num w:numId="20">
    <w:abstractNumId w:val="12"/>
  </w:num>
  <w:num w:numId="21">
    <w:abstractNumId w:val="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DC"/>
    <w:rsid w:val="000120E5"/>
    <w:rsid w:val="000269DE"/>
    <w:rsid w:val="00037155"/>
    <w:rsid w:val="0005228D"/>
    <w:rsid w:val="000546AA"/>
    <w:rsid w:val="00066407"/>
    <w:rsid w:val="000740CB"/>
    <w:rsid w:val="000760F3"/>
    <w:rsid w:val="000911D8"/>
    <w:rsid w:val="000A5771"/>
    <w:rsid w:val="000C68DA"/>
    <w:rsid w:val="000D26D2"/>
    <w:rsid w:val="000D3C41"/>
    <w:rsid w:val="000E2778"/>
    <w:rsid w:val="000E6E59"/>
    <w:rsid w:val="001163E8"/>
    <w:rsid w:val="0012251C"/>
    <w:rsid w:val="00141E1E"/>
    <w:rsid w:val="00152F51"/>
    <w:rsid w:val="001531E7"/>
    <w:rsid w:val="0016193D"/>
    <w:rsid w:val="001702D8"/>
    <w:rsid w:val="00182887"/>
    <w:rsid w:val="001B2BE2"/>
    <w:rsid w:val="001C59D1"/>
    <w:rsid w:val="001C61FA"/>
    <w:rsid w:val="001D459B"/>
    <w:rsid w:val="001D51BB"/>
    <w:rsid w:val="001F5DA6"/>
    <w:rsid w:val="0020097D"/>
    <w:rsid w:val="00206151"/>
    <w:rsid w:val="002224EF"/>
    <w:rsid w:val="002517BE"/>
    <w:rsid w:val="002528DB"/>
    <w:rsid w:val="00255D7E"/>
    <w:rsid w:val="00266FB4"/>
    <w:rsid w:val="0027504A"/>
    <w:rsid w:val="00282970"/>
    <w:rsid w:val="00291DEF"/>
    <w:rsid w:val="002C455B"/>
    <w:rsid w:val="002D71B7"/>
    <w:rsid w:val="0030139A"/>
    <w:rsid w:val="00302EB0"/>
    <w:rsid w:val="003040E4"/>
    <w:rsid w:val="00333207"/>
    <w:rsid w:val="00347624"/>
    <w:rsid w:val="00350814"/>
    <w:rsid w:val="00384DE6"/>
    <w:rsid w:val="00390498"/>
    <w:rsid w:val="003B373D"/>
    <w:rsid w:val="003B4B3B"/>
    <w:rsid w:val="003B7FD7"/>
    <w:rsid w:val="003C3299"/>
    <w:rsid w:val="003D7748"/>
    <w:rsid w:val="003F5681"/>
    <w:rsid w:val="004146CC"/>
    <w:rsid w:val="004246DC"/>
    <w:rsid w:val="0043142C"/>
    <w:rsid w:val="00464A4F"/>
    <w:rsid w:val="004A2309"/>
    <w:rsid w:val="004A58AE"/>
    <w:rsid w:val="004A7D3B"/>
    <w:rsid w:val="004B260A"/>
    <w:rsid w:val="004B2E3C"/>
    <w:rsid w:val="004B31E1"/>
    <w:rsid w:val="004B36E9"/>
    <w:rsid w:val="004D4D32"/>
    <w:rsid w:val="004E5969"/>
    <w:rsid w:val="004F21D5"/>
    <w:rsid w:val="004F5843"/>
    <w:rsid w:val="00500128"/>
    <w:rsid w:val="00510974"/>
    <w:rsid w:val="00530B04"/>
    <w:rsid w:val="00532E84"/>
    <w:rsid w:val="005369B8"/>
    <w:rsid w:val="005440C1"/>
    <w:rsid w:val="0055247E"/>
    <w:rsid w:val="00561CA1"/>
    <w:rsid w:val="00570EED"/>
    <w:rsid w:val="00575A0C"/>
    <w:rsid w:val="00576F71"/>
    <w:rsid w:val="005868BA"/>
    <w:rsid w:val="00594F37"/>
    <w:rsid w:val="00597EFF"/>
    <w:rsid w:val="005A27BC"/>
    <w:rsid w:val="005B5D3D"/>
    <w:rsid w:val="005C09FE"/>
    <w:rsid w:val="005C0E12"/>
    <w:rsid w:val="005E2C01"/>
    <w:rsid w:val="00600FAC"/>
    <w:rsid w:val="00646AEF"/>
    <w:rsid w:val="00646B7C"/>
    <w:rsid w:val="00665B02"/>
    <w:rsid w:val="00671F3F"/>
    <w:rsid w:val="006740B4"/>
    <w:rsid w:val="00684C50"/>
    <w:rsid w:val="00695D8A"/>
    <w:rsid w:val="006A0739"/>
    <w:rsid w:val="006B3CE7"/>
    <w:rsid w:val="006B452E"/>
    <w:rsid w:val="006C1CCA"/>
    <w:rsid w:val="006D0789"/>
    <w:rsid w:val="006F5283"/>
    <w:rsid w:val="00715534"/>
    <w:rsid w:val="007239AE"/>
    <w:rsid w:val="007460E4"/>
    <w:rsid w:val="00760AAA"/>
    <w:rsid w:val="00787C13"/>
    <w:rsid w:val="007A3FAD"/>
    <w:rsid w:val="007A4791"/>
    <w:rsid w:val="007B3846"/>
    <w:rsid w:val="007B5775"/>
    <w:rsid w:val="007C6C73"/>
    <w:rsid w:val="007D4DFA"/>
    <w:rsid w:val="007D66B7"/>
    <w:rsid w:val="007F1542"/>
    <w:rsid w:val="008009D2"/>
    <w:rsid w:val="00801DE2"/>
    <w:rsid w:val="00803278"/>
    <w:rsid w:val="00803B1B"/>
    <w:rsid w:val="008137E9"/>
    <w:rsid w:val="00816180"/>
    <w:rsid w:val="008256D5"/>
    <w:rsid w:val="00837966"/>
    <w:rsid w:val="0085472E"/>
    <w:rsid w:val="00856D05"/>
    <w:rsid w:val="0085768E"/>
    <w:rsid w:val="00857B6E"/>
    <w:rsid w:val="00865697"/>
    <w:rsid w:val="00894FA2"/>
    <w:rsid w:val="00896B0A"/>
    <w:rsid w:val="008A2C42"/>
    <w:rsid w:val="008A6EC1"/>
    <w:rsid w:val="008B2400"/>
    <w:rsid w:val="008C65CC"/>
    <w:rsid w:val="008C6975"/>
    <w:rsid w:val="008D5DD2"/>
    <w:rsid w:val="008D757C"/>
    <w:rsid w:val="008E1E41"/>
    <w:rsid w:val="008E715F"/>
    <w:rsid w:val="008F175E"/>
    <w:rsid w:val="008F21E7"/>
    <w:rsid w:val="008F2F0A"/>
    <w:rsid w:val="009074C0"/>
    <w:rsid w:val="009126CB"/>
    <w:rsid w:val="009266C6"/>
    <w:rsid w:val="00930232"/>
    <w:rsid w:val="00931A7F"/>
    <w:rsid w:val="00946824"/>
    <w:rsid w:val="009520CA"/>
    <w:rsid w:val="0095231A"/>
    <w:rsid w:val="00954636"/>
    <w:rsid w:val="00964D61"/>
    <w:rsid w:val="009667B5"/>
    <w:rsid w:val="0099729B"/>
    <w:rsid w:val="009A7912"/>
    <w:rsid w:val="009B0EED"/>
    <w:rsid w:val="009C08E4"/>
    <w:rsid w:val="009D5B27"/>
    <w:rsid w:val="009E00C1"/>
    <w:rsid w:val="00A0336C"/>
    <w:rsid w:val="00A12473"/>
    <w:rsid w:val="00A2273C"/>
    <w:rsid w:val="00A27576"/>
    <w:rsid w:val="00A503FC"/>
    <w:rsid w:val="00A63F95"/>
    <w:rsid w:val="00A6477E"/>
    <w:rsid w:val="00A864FC"/>
    <w:rsid w:val="00A94AE2"/>
    <w:rsid w:val="00AC415D"/>
    <w:rsid w:val="00AD0556"/>
    <w:rsid w:val="00AD0C9F"/>
    <w:rsid w:val="00AD614A"/>
    <w:rsid w:val="00AE39CB"/>
    <w:rsid w:val="00B257AB"/>
    <w:rsid w:val="00B25D18"/>
    <w:rsid w:val="00B360FB"/>
    <w:rsid w:val="00B51CF1"/>
    <w:rsid w:val="00B707EF"/>
    <w:rsid w:val="00B718DD"/>
    <w:rsid w:val="00B749A7"/>
    <w:rsid w:val="00B7653B"/>
    <w:rsid w:val="00B76E30"/>
    <w:rsid w:val="00B86823"/>
    <w:rsid w:val="00BA6B6B"/>
    <w:rsid w:val="00BB0588"/>
    <w:rsid w:val="00BB097C"/>
    <w:rsid w:val="00BB6377"/>
    <w:rsid w:val="00BC0CAF"/>
    <w:rsid w:val="00BC5A24"/>
    <w:rsid w:val="00BD4A7E"/>
    <w:rsid w:val="00BE0768"/>
    <w:rsid w:val="00BF7996"/>
    <w:rsid w:val="00C0027D"/>
    <w:rsid w:val="00C02D7F"/>
    <w:rsid w:val="00C076BF"/>
    <w:rsid w:val="00C15608"/>
    <w:rsid w:val="00C272A1"/>
    <w:rsid w:val="00C320B3"/>
    <w:rsid w:val="00C3754F"/>
    <w:rsid w:val="00C624A2"/>
    <w:rsid w:val="00C86745"/>
    <w:rsid w:val="00C928D3"/>
    <w:rsid w:val="00CA61DF"/>
    <w:rsid w:val="00CA75E2"/>
    <w:rsid w:val="00CB5406"/>
    <w:rsid w:val="00CC08F6"/>
    <w:rsid w:val="00D23D95"/>
    <w:rsid w:val="00D3542C"/>
    <w:rsid w:val="00D54CD8"/>
    <w:rsid w:val="00D735E0"/>
    <w:rsid w:val="00DA28E4"/>
    <w:rsid w:val="00DB4A32"/>
    <w:rsid w:val="00DD141C"/>
    <w:rsid w:val="00DD1E0E"/>
    <w:rsid w:val="00DE1FAB"/>
    <w:rsid w:val="00DE4C6F"/>
    <w:rsid w:val="00DE57C9"/>
    <w:rsid w:val="00E16D58"/>
    <w:rsid w:val="00E22AC7"/>
    <w:rsid w:val="00E36734"/>
    <w:rsid w:val="00E371D7"/>
    <w:rsid w:val="00E43994"/>
    <w:rsid w:val="00E46B31"/>
    <w:rsid w:val="00E93216"/>
    <w:rsid w:val="00E953C2"/>
    <w:rsid w:val="00EA2ED2"/>
    <w:rsid w:val="00EB4BBF"/>
    <w:rsid w:val="00EB628D"/>
    <w:rsid w:val="00EE43B6"/>
    <w:rsid w:val="00EF1AAC"/>
    <w:rsid w:val="00EF6C5E"/>
    <w:rsid w:val="00F00C1E"/>
    <w:rsid w:val="00F07024"/>
    <w:rsid w:val="00F10F8D"/>
    <w:rsid w:val="00F16370"/>
    <w:rsid w:val="00F17E21"/>
    <w:rsid w:val="00F26C89"/>
    <w:rsid w:val="00F300C0"/>
    <w:rsid w:val="00F30F37"/>
    <w:rsid w:val="00F44861"/>
    <w:rsid w:val="00F44A1E"/>
    <w:rsid w:val="00F5442D"/>
    <w:rsid w:val="00F70163"/>
    <w:rsid w:val="00F7026A"/>
    <w:rsid w:val="00F80AF6"/>
    <w:rsid w:val="00F82AAA"/>
    <w:rsid w:val="00F85509"/>
    <w:rsid w:val="00FA2AC2"/>
    <w:rsid w:val="00FD1B1F"/>
    <w:rsid w:val="00FD4FA8"/>
    <w:rsid w:val="00FF2590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5FB42F"/>
  <w15:docId w15:val="{B7580067-5551-470D-9142-DE81358D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246D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0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246DC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20">
    <w:name w:val="見出し 2 (文字)"/>
    <w:basedOn w:val="a0"/>
    <w:link w:val="2"/>
    <w:rsid w:val="004246DC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30">
    <w:name w:val="見出し 3 (文字)"/>
    <w:basedOn w:val="a0"/>
    <w:link w:val="3"/>
    <w:rsid w:val="004246DC"/>
    <w:rPr>
      <w:rFonts w:ascii="Times New Roman" w:eastAsiaTheme="minorEastAsia" w:hAnsi="Times New Roman" w:cs="Times New Roman"/>
      <w:b/>
      <w:lang w:val="en-US"/>
    </w:rPr>
  </w:style>
  <w:style w:type="character" w:customStyle="1" w:styleId="40">
    <w:name w:val="見出し 4 (文字)"/>
    <w:basedOn w:val="a0"/>
    <w:link w:val="4"/>
    <w:rsid w:val="004246DC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50">
    <w:name w:val="見出し 5 (文字)"/>
    <w:basedOn w:val="a0"/>
    <w:link w:val="5"/>
    <w:rsid w:val="004246DC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60">
    <w:name w:val="見出し 6 (文字)"/>
    <w:basedOn w:val="a0"/>
    <w:link w:val="6"/>
    <w:rsid w:val="004246DC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70">
    <w:name w:val="見出し 7 (文字)"/>
    <w:basedOn w:val="a0"/>
    <w:link w:val="7"/>
    <w:rsid w:val="004246DC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80">
    <w:name w:val="見出し 8 (文字)"/>
    <w:basedOn w:val="a0"/>
    <w:link w:val="8"/>
    <w:rsid w:val="004246DC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90">
    <w:name w:val="見出し 9 (文字)"/>
    <w:aliases w:val="Figure Heading (文字),FH (文字)"/>
    <w:basedOn w:val="a0"/>
    <w:link w:val="9"/>
    <w:rsid w:val="004246DC"/>
    <w:rPr>
      <w:rFonts w:ascii="Arial" w:eastAsiaTheme="minorEastAsia" w:hAnsi="Arial" w:cs="Arial"/>
      <w:lang w:val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4246DC"/>
    <w:pPr>
      <w:tabs>
        <w:tab w:val="center" w:pos="4680"/>
        <w:tab w:val="right" w:pos="9360"/>
      </w:tabs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4246DC"/>
    <w:rPr>
      <w:rFonts w:ascii="Times New Roman" w:eastAsiaTheme="minorEastAsia" w:hAnsi="Times New Roman" w:cs="Times New Roman"/>
      <w:lang w:val="en-US"/>
    </w:rPr>
  </w:style>
  <w:style w:type="paragraph" w:styleId="a5">
    <w:name w:val="List Paragraph"/>
    <w:aliases w:val="- Bullets,목록 단락,Lista1,?? ??,?????,????"/>
    <w:basedOn w:val="a"/>
    <w:link w:val="a6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a6">
    <w:name w:val="リスト段落 (文字)"/>
    <w:aliases w:val="- Bullets (文字),목록 단락 (文字),Lista1 (文字),?? ?? (文字),????? (文字),???? (文字)"/>
    <w:link w:val="a5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a"/>
    <w:rsid w:val="004246DC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/>
    </w:rPr>
  </w:style>
  <w:style w:type="paragraph" w:styleId="Web">
    <w:name w:val="Normal (Web)"/>
    <w:basedOn w:val="a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a"/>
    <w:rsid w:val="00C3754F"/>
    <w:pPr>
      <w:numPr>
        <w:numId w:val="7"/>
      </w:numPr>
      <w:adjustRightInd/>
      <w:spacing w:after="60"/>
    </w:pPr>
    <w:rPr>
      <w:sz w:val="20"/>
      <w:szCs w:val="16"/>
    </w:rPr>
  </w:style>
  <w:style w:type="paragraph" w:styleId="a7">
    <w:name w:val="footer"/>
    <w:basedOn w:val="a"/>
    <w:link w:val="a8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a8">
    <w:name w:val="フッター (文字)"/>
    <w:basedOn w:val="a0"/>
    <w:link w:val="a7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a9">
    <w:name w:val="Hyperlink"/>
    <w:uiPriority w:val="99"/>
    <w:rsid w:val="00E36734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646A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46AEF"/>
    <w:rPr>
      <w:sz w:val="20"/>
      <w:szCs w:val="20"/>
    </w:rPr>
  </w:style>
  <w:style w:type="character" w:customStyle="1" w:styleId="ac">
    <w:name w:val="コメント文字列 (文字)"/>
    <w:basedOn w:val="a0"/>
    <w:link w:val="ab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46AE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af">
    <w:name w:val="Revision"/>
    <w:hidden/>
    <w:uiPriority w:val="99"/>
    <w:semiHidden/>
    <w:rsid w:val="00646AEF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a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a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21"/>
    <w:uiPriority w:val="99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3040E4"/>
    <w:pPr>
      <w:ind w:left="566" w:hanging="283"/>
      <w:contextualSpacing/>
    </w:pPr>
  </w:style>
  <w:style w:type="paragraph" w:styleId="22">
    <w:name w:val="toc 2"/>
    <w:basedOn w:val="1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11">
    <w:name w:val="toc 1"/>
    <w:basedOn w:val="a"/>
    <w:next w:val="a"/>
    <w:autoRedefine/>
    <w:uiPriority w:val="39"/>
    <w:semiHidden/>
    <w:unhideWhenUsed/>
    <w:rsid w:val="00D3542C"/>
    <w:pPr>
      <w:spacing w:after="100"/>
    </w:pPr>
  </w:style>
  <w:style w:type="paragraph" w:customStyle="1" w:styleId="B1">
    <w:name w:val="B1"/>
    <w:basedOn w:val="af2"/>
    <w:link w:val="B1Char"/>
    <w:qFormat/>
    <w:rsid w:val="00DB4A32"/>
    <w:pPr>
      <w:autoSpaceDE/>
      <w:autoSpaceDN/>
      <w:adjustRightInd/>
      <w:snapToGrid/>
      <w:spacing w:after="180"/>
      <w:ind w:left="568" w:hanging="284"/>
      <w:contextualSpacing w:val="0"/>
      <w:jc w:val="left"/>
    </w:pPr>
    <w:rPr>
      <w:rFonts w:eastAsia="SimSun"/>
      <w:sz w:val="20"/>
      <w:szCs w:val="20"/>
      <w:lang w:val="en-GB" w:eastAsia="x-none"/>
    </w:rPr>
  </w:style>
  <w:style w:type="character" w:customStyle="1" w:styleId="B1Char">
    <w:name w:val="B1 Char"/>
    <w:link w:val="B1"/>
    <w:rsid w:val="00DB4A3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af2">
    <w:name w:val="List"/>
    <w:basedOn w:val="a"/>
    <w:uiPriority w:val="99"/>
    <w:semiHidden/>
    <w:unhideWhenUsed/>
    <w:rsid w:val="00DB4A3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5FFBF-A8CC-4797-B561-0890B4BC6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Ljung, Rickard (23060230)</dc:creator>
  <cp:keywords/>
  <dc:description/>
  <cp:lastModifiedBy>Kusashima, Naoki (Sony)</cp:lastModifiedBy>
  <cp:revision>3</cp:revision>
  <cp:lastPrinted>2018-09-24T06:57:00Z</cp:lastPrinted>
  <dcterms:created xsi:type="dcterms:W3CDTF">2019-08-16T11:14:00Z</dcterms:created>
  <dcterms:modified xsi:type="dcterms:W3CDTF">2019-10-03T05:46:00Z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SecurityClass">
    <vt:lpwstr>.</vt:lpwstr>
  </property>
  <property fmtid="{D5CDD505-2E9C-101B-9397-08002B2CF9AE}" pid="4" name="Date">
    <vt:lpwstr>2019-02-11</vt:lpwstr>
  </property>
  <property fmtid="{D5CDD505-2E9C-101B-9397-08002B2CF9AE}" pid="5" name="DocumentSource">
    <vt:lpwstr/>
  </property>
  <property fmtid="{D5CDD505-2E9C-101B-9397-08002B2CF9AE}" pid="6" name="Prepared">
    <vt:lpwstr>Ljung, Rickard (23060230)</vt:lpwstr>
  </property>
</Properties>
</file>